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B0AB0" w14:textId="67BFF50F" w:rsidR="00895C5B" w:rsidRPr="003856C0" w:rsidRDefault="001E4B66">
      <w:pPr>
        <w:rPr>
          <w:rFonts w:ascii="Calibri" w:hAnsi="Calibri" w:cs="Calibri"/>
        </w:rPr>
      </w:pPr>
      <w:r w:rsidRPr="003856C0">
        <w:rPr>
          <w:rFonts w:ascii="Calibri" w:hAnsi="Calibri" w:cs="Calibri"/>
        </w:rPr>
        <w:t>Architectural Standards Issues</w:t>
      </w:r>
    </w:p>
    <w:p w14:paraId="4FFAF899" w14:textId="28243060" w:rsidR="003856C0" w:rsidRPr="003856C0" w:rsidRDefault="003856C0">
      <w:pPr>
        <w:rPr>
          <w:rFonts w:ascii="Calibri" w:hAnsi="Calibri" w:cs="Calibri"/>
        </w:rPr>
      </w:pPr>
      <w:r w:rsidRPr="003856C0">
        <w:rPr>
          <w:rFonts w:ascii="Calibri" w:hAnsi="Calibri" w:cs="Calibri"/>
        </w:rPr>
        <w:t>In general, OHFA should impose the lowest standards necessary to ensure livability and sustainability. OHFA programs should recognize the primacy of private sector decision-making in the tax credit program and allow developer/owner flexibility in meeting market demand at affordable prices.</w:t>
      </w:r>
    </w:p>
    <w:p w14:paraId="2840DF45" w14:textId="1A58AF21" w:rsidR="001E4B66" w:rsidRPr="003856C0" w:rsidRDefault="001E4B66">
      <w:pPr>
        <w:rPr>
          <w:rFonts w:ascii="Calibri" w:hAnsi="Calibri" w:cs="Calibri"/>
        </w:rPr>
      </w:pPr>
      <w:r w:rsidRPr="003856C0">
        <w:rPr>
          <w:rFonts w:ascii="Calibri" w:hAnsi="Calibri" w:cs="Calibri"/>
        </w:rPr>
        <w:t xml:space="preserve">P. 9: </w:t>
      </w:r>
      <w:r w:rsidR="009E0A56">
        <w:rPr>
          <w:rFonts w:ascii="Calibri" w:hAnsi="Calibri" w:cs="Calibri"/>
        </w:rPr>
        <w:t>Does section 504 truly require distribution of Mobility units “</w:t>
      </w:r>
      <w:r w:rsidRPr="003856C0">
        <w:rPr>
          <w:rFonts w:ascii="Calibri" w:hAnsi="Calibri" w:cs="Calibri"/>
        </w:rPr>
        <w:t>throughout the development and buildings</w:t>
      </w:r>
      <w:r w:rsidR="009E0A56">
        <w:rPr>
          <w:rFonts w:ascii="Calibri" w:hAnsi="Calibri" w:cs="Calibri"/>
        </w:rPr>
        <w:t xml:space="preserve"> [including]</w:t>
      </w:r>
      <w:r w:rsidRPr="003856C0">
        <w:rPr>
          <w:rFonts w:ascii="Calibri" w:hAnsi="Calibri" w:cs="Calibri"/>
        </w:rPr>
        <w:t xml:space="preserve"> units on multiple floors.</w:t>
      </w:r>
      <w:r w:rsidR="009E0A56">
        <w:rPr>
          <w:rFonts w:ascii="Calibri" w:hAnsi="Calibri" w:cs="Calibri"/>
        </w:rPr>
        <w:t>” If not required for compliance, it makes more sense for these units to be on the ground floor in terms of cost of plumbing and evacuation.</w:t>
      </w:r>
    </w:p>
    <w:p w14:paraId="76101F8B" w14:textId="2108B8B7" w:rsidR="00E72F2B" w:rsidRPr="003856C0" w:rsidRDefault="00E72F2B">
      <w:pPr>
        <w:rPr>
          <w:rFonts w:ascii="Calibri" w:hAnsi="Calibri" w:cs="Calibri"/>
        </w:rPr>
      </w:pPr>
      <w:r w:rsidRPr="003856C0">
        <w:rPr>
          <w:rFonts w:ascii="Calibri" w:hAnsi="Calibri" w:cs="Calibri"/>
        </w:rPr>
        <w:t xml:space="preserve">P. 11: Many of the accessibility features are quite expensive and, while there is choice, certain categories offer no inexpensive options. How much can we squeeze developers </w:t>
      </w:r>
      <w:proofErr w:type="gramStart"/>
      <w:r w:rsidRPr="003856C0">
        <w:rPr>
          <w:rFonts w:ascii="Calibri" w:hAnsi="Calibri" w:cs="Calibri"/>
        </w:rPr>
        <w:t>in order to</w:t>
      </w:r>
      <w:proofErr w:type="gramEnd"/>
      <w:r w:rsidRPr="003856C0">
        <w:rPr>
          <w:rFonts w:ascii="Calibri" w:hAnsi="Calibri" w:cs="Calibri"/>
        </w:rPr>
        <w:t xml:space="preserve"> provide greater accessibility for an unknown number of users?</w:t>
      </w:r>
    </w:p>
    <w:p w14:paraId="07F6A452" w14:textId="7A7973F7" w:rsidR="001D71F2" w:rsidRPr="003856C0" w:rsidRDefault="001D71F2">
      <w:pPr>
        <w:rPr>
          <w:rFonts w:ascii="Calibri" w:hAnsi="Calibri" w:cs="Calibri"/>
        </w:rPr>
      </w:pPr>
      <w:r w:rsidRPr="003856C0">
        <w:rPr>
          <w:rFonts w:ascii="Calibri" w:hAnsi="Calibri" w:cs="Calibri"/>
        </w:rPr>
        <w:t>P. 14, 3.1: 24 CFR 988.55(e) applies to projects with federal funding.  Many OHFA projects do not have such funding and would not ordinarily be required to comply with these Site &amp; Neighborhood Standards. Site approval, aside from buildability and avoidance of adjacent blight should be handled by program staff rather than architectural staff.</w:t>
      </w:r>
    </w:p>
    <w:p w14:paraId="29D65918" w14:textId="79815E35" w:rsidR="001D71F2" w:rsidRPr="003856C0" w:rsidRDefault="001D71F2">
      <w:pPr>
        <w:rPr>
          <w:rFonts w:ascii="Calibri" w:hAnsi="Calibri" w:cs="Calibri"/>
        </w:rPr>
      </w:pPr>
      <w:r w:rsidRPr="003856C0">
        <w:rPr>
          <w:rFonts w:ascii="Calibri" w:hAnsi="Calibri" w:cs="Calibri"/>
        </w:rPr>
        <w:t xml:space="preserve">P. 14, 3.2: Language is too broad regarding “developments serving seniors”. Lots of seniors live in general occupancy housing which allows non-elevator buildings up to 3 stories. </w:t>
      </w:r>
      <w:proofErr w:type="gramStart"/>
      <w:r w:rsidR="003856C0" w:rsidRPr="003856C0">
        <w:rPr>
          <w:rFonts w:ascii="Calibri" w:hAnsi="Calibri" w:cs="Calibri"/>
        </w:rPr>
        <w:t>Also</w:t>
      </w:r>
      <w:proofErr w:type="gramEnd"/>
      <w:r w:rsidR="003856C0" w:rsidRPr="003856C0">
        <w:rPr>
          <w:rFonts w:ascii="Calibri" w:hAnsi="Calibri" w:cs="Calibri"/>
        </w:rPr>
        <w:t xml:space="preserve"> an issue on p.24—R4.2.2.</w:t>
      </w:r>
    </w:p>
    <w:p w14:paraId="328FD977" w14:textId="0C9245DD" w:rsidR="001D71F2" w:rsidRPr="003856C0" w:rsidRDefault="001D71F2">
      <w:pPr>
        <w:rPr>
          <w:rFonts w:ascii="Calibri" w:hAnsi="Calibri" w:cs="Calibri"/>
        </w:rPr>
      </w:pPr>
      <w:r w:rsidRPr="003856C0">
        <w:rPr>
          <w:rFonts w:ascii="Calibri" w:hAnsi="Calibri" w:cs="Calibri"/>
        </w:rPr>
        <w:t xml:space="preserve">P. 15, 3.3: The long-standing prohibition against SRO housing should be eliminated to create an opportunity—perhaps as a pilot project—for demonstrating the cost effectiveness of this model for appropriate populations. </w:t>
      </w:r>
      <w:r w:rsidR="009E0A56" w:rsidRPr="003856C0">
        <w:rPr>
          <w:rFonts w:ascii="Calibri" w:hAnsi="Calibri" w:cs="Calibri"/>
        </w:rPr>
        <w:t>Also,</w:t>
      </w:r>
      <w:r w:rsidR="003856C0" w:rsidRPr="003856C0">
        <w:rPr>
          <w:rFonts w:ascii="Calibri" w:hAnsi="Calibri" w:cs="Calibri"/>
        </w:rPr>
        <w:t xml:space="preserve"> </w:t>
      </w:r>
      <w:r w:rsidR="009E0A56">
        <w:rPr>
          <w:rFonts w:ascii="Calibri" w:hAnsi="Calibri" w:cs="Calibri"/>
        </w:rPr>
        <w:t>same issue at</w:t>
      </w:r>
      <w:r w:rsidR="003856C0" w:rsidRPr="003856C0">
        <w:rPr>
          <w:rFonts w:ascii="Calibri" w:hAnsi="Calibri" w:cs="Calibri"/>
        </w:rPr>
        <w:t xml:space="preserve"> p. 25—R4.3.2.</w:t>
      </w:r>
    </w:p>
    <w:p w14:paraId="7C4B4AE8" w14:textId="0C79111A" w:rsidR="001D71F2" w:rsidRPr="003856C0" w:rsidRDefault="001D71F2">
      <w:pPr>
        <w:rPr>
          <w:rFonts w:ascii="Calibri" w:hAnsi="Calibri" w:cs="Calibri"/>
        </w:rPr>
      </w:pPr>
      <w:r w:rsidRPr="003856C0">
        <w:rPr>
          <w:rFonts w:ascii="Calibri" w:hAnsi="Calibri" w:cs="Calibri"/>
        </w:rPr>
        <w:t>P. 15. 3.4: Third or fourth bedrooms could be a bit smaller than 100 sf, which is typical in a starter home. 90 sf, perhaps.</w:t>
      </w:r>
      <w:r w:rsidR="003856C0" w:rsidRPr="003856C0">
        <w:rPr>
          <w:rFonts w:ascii="Calibri" w:hAnsi="Calibri" w:cs="Calibri"/>
        </w:rPr>
        <w:t xml:space="preserve"> Note that 90 sf secondary bedrooms are permitted p. 25—R4.4.1. Actually, why even have a minimum standard for rehabs? The bedrooms are </w:t>
      </w:r>
      <w:r w:rsidR="009E0A56">
        <w:rPr>
          <w:rFonts w:ascii="Calibri" w:hAnsi="Calibri" w:cs="Calibri"/>
        </w:rPr>
        <w:t>the size</w:t>
      </w:r>
      <w:r w:rsidR="003856C0" w:rsidRPr="003856C0">
        <w:rPr>
          <w:rFonts w:ascii="Calibri" w:hAnsi="Calibri" w:cs="Calibri"/>
        </w:rPr>
        <w:t xml:space="preserve"> they are.</w:t>
      </w:r>
    </w:p>
    <w:p w14:paraId="0F42DDD5" w14:textId="6C9D7E31" w:rsidR="001D71F2" w:rsidRPr="003856C0" w:rsidRDefault="001D71F2">
      <w:pPr>
        <w:rPr>
          <w:rFonts w:ascii="Calibri" w:hAnsi="Calibri" w:cs="Calibri"/>
        </w:rPr>
      </w:pPr>
      <w:r w:rsidRPr="003856C0">
        <w:rPr>
          <w:rFonts w:ascii="Calibri" w:hAnsi="Calibri" w:cs="Calibri"/>
        </w:rPr>
        <w:t>P. 16, 3.7: Interior doors, aside from closet doors, can be hollow core. Yes, they will occasionally be broken, but they are so cheap—compared to solid core—and easy to buy and install that it makes sense</w:t>
      </w:r>
      <w:r w:rsidR="009E0A56">
        <w:rPr>
          <w:rFonts w:ascii="Calibri" w:hAnsi="Calibri" w:cs="Calibri"/>
        </w:rPr>
        <w:t xml:space="preserve"> to allow them</w:t>
      </w:r>
      <w:r w:rsidRPr="003856C0">
        <w:rPr>
          <w:rFonts w:ascii="Calibri" w:hAnsi="Calibri" w:cs="Calibri"/>
        </w:rPr>
        <w:t>.</w:t>
      </w:r>
    </w:p>
    <w:p w14:paraId="27D0638F" w14:textId="510E0600" w:rsidR="001D71F2" w:rsidRPr="003856C0" w:rsidRDefault="001D71F2">
      <w:pPr>
        <w:rPr>
          <w:rFonts w:ascii="Calibri" w:hAnsi="Calibri" w:cs="Calibri"/>
        </w:rPr>
      </w:pPr>
      <w:r w:rsidRPr="003856C0">
        <w:rPr>
          <w:rFonts w:ascii="Calibri" w:hAnsi="Calibri" w:cs="Calibri"/>
        </w:rPr>
        <w:t>P. 19, 3.10: PTAC units</w:t>
      </w:r>
      <w:r w:rsidR="001208EE" w:rsidRPr="003856C0">
        <w:rPr>
          <w:rFonts w:ascii="Calibri" w:hAnsi="Calibri" w:cs="Calibri"/>
        </w:rPr>
        <w:t>—unsure if a blanket prohibition policy is necessary, if a proposed PTAC meets certain standards.</w:t>
      </w:r>
    </w:p>
    <w:p w14:paraId="0901443E" w14:textId="2919784E" w:rsidR="003856C0" w:rsidRPr="003856C0" w:rsidRDefault="003856C0">
      <w:pPr>
        <w:rPr>
          <w:rFonts w:ascii="Calibri" w:hAnsi="Calibri" w:cs="Calibri"/>
        </w:rPr>
      </w:pPr>
      <w:r w:rsidRPr="003856C0">
        <w:rPr>
          <w:rFonts w:ascii="Calibri" w:hAnsi="Calibri" w:cs="Calibri"/>
        </w:rPr>
        <w:t xml:space="preserve">P. 30 et. seq.: </w:t>
      </w:r>
      <w:r w:rsidR="009E0A56">
        <w:rPr>
          <w:rFonts w:ascii="Calibri" w:hAnsi="Calibri" w:cs="Calibri"/>
        </w:rPr>
        <w:t>Required use of</w:t>
      </w:r>
      <w:r w:rsidRPr="003856C0">
        <w:rPr>
          <w:rFonts w:ascii="Calibri" w:hAnsi="Calibri" w:cs="Calibri"/>
        </w:rPr>
        <w:t xml:space="preserve"> PCNAs should be revisited for substantial rehab projects where </w:t>
      </w:r>
      <w:r w:rsidR="009E0A56">
        <w:rPr>
          <w:rFonts w:ascii="Calibri" w:hAnsi="Calibri" w:cs="Calibri"/>
        </w:rPr>
        <w:t xml:space="preserve">essentially </w:t>
      </w:r>
      <w:r w:rsidRPr="003856C0">
        <w:rPr>
          <w:rFonts w:ascii="Calibri" w:hAnsi="Calibri" w:cs="Calibri"/>
        </w:rPr>
        <w:t xml:space="preserve">all building systems will be modernized or replaced. </w:t>
      </w:r>
    </w:p>
    <w:sectPr w:rsidR="003856C0" w:rsidRPr="003856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B66"/>
    <w:rsid w:val="000C2599"/>
    <w:rsid w:val="000C2C69"/>
    <w:rsid w:val="001208EE"/>
    <w:rsid w:val="001D71F2"/>
    <w:rsid w:val="001E4B66"/>
    <w:rsid w:val="003856C0"/>
    <w:rsid w:val="00464D29"/>
    <w:rsid w:val="00726BCD"/>
    <w:rsid w:val="00895C5B"/>
    <w:rsid w:val="009C6952"/>
    <w:rsid w:val="009E0A56"/>
    <w:rsid w:val="00B0339F"/>
    <w:rsid w:val="00CC654B"/>
    <w:rsid w:val="00D36A2C"/>
    <w:rsid w:val="00E72F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90733"/>
  <w15:chartTrackingRefBased/>
  <w15:docId w15:val="{ECA86E33-C547-4E8E-8741-A562375E5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E4B6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E4B6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E4B6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E4B6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E4B6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E4B6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E4B6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E4B6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E4B6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4B6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E4B6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E4B6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E4B6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E4B6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E4B6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E4B6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E4B6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E4B66"/>
    <w:rPr>
      <w:rFonts w:eastAsiaTheme="majorEastAsia" w:cstheme="majorBidi"/>
      <w:color w:val="272727" w:themeColor="text1" w:themeTint="D8"/>
    </w:rPr>
  </w:style>
  <w:style w:type="paragraph" w:styleId="Title">
    <w:name w:val="Title"/>
    <w:basedOn w:val="Normal"/>
    <w:next w:val="Normal"/>
    <w:link w:val="TitleChar"/>
    <w:uiPriority w:val="10"/>
    <w:qFormat/>
    <w:rsid w:val="001E4B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E4B6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E4B6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E4B6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E4B66"/>
    <w:pPr>
      <w:spacing w:before="160"/>
      <w:jc w:val="center"/>
    </w:pPr>
    <w:rPr>
      <w:i/>
      <w:iCs/>
      <w:color w:val="404040" w:themeColor="text1" w:themeTint="BF"/>
    </w:rPr>
  </w:style>
  <w:style w:type="character" w:customStyle="1" w:styleId="QuoteChar">
    <w:name w:val="Quote Char"/>
    <w:basedOn w:val="DefaultParagraphFont"/>
    <w:link w:val="Quote"/>
    <w:uiPriority w:val="29"/>
    <w:rsid w:val="001E4B66"/>
    <w:rPr>
      <w:i/>
      <w:iCs/>
      <w:color w:val="404040" w:themeColor="text1" w:themeTint="BF"/>
    </w:rPr>
  </w:style>
  <w:style w:type="paragraph" w:styleId="ListParagraph">
    <w:name w:val="List Paragraph"/>
    <w:basedOn w:val="Normal"/>
    <w:uiPriority w:val="34"/>
    <w:qFormat/>
    <w:rsid w:val="001E4B66"/>
    <w:pPr>
      <w:ind w:left="720"/>
      <w:contextualSpacing/>
    </w:pPr>
  </w:style>
  <w:style w:type="character" w:styleId="IntenseEmphasis">
    <w:name w:val="Intense Emphasis"/>
    <w:basedOn w:val="DefaultParagraphFont"/>
    <w:uiPriority w:val="21"/>
    <w:qFormat/>
    <w:rsid w:val="001E4B66"/>
    <w:rPr>
      <w:i/>
      <w:iCs/>
      <w:color w:val="0F4761" w:themeColor="accent1" w:themeShade="BF"/>
    </w:rPr>
  </w:style>
  <w:style w:type="paragraph" w:styleId="IntenseQuote">
    <w:name w:val="Intense Quote"/>
    <w:basedOn w:val="Normal"/>
    <w:next w:val="Normal"/>
    <w:link w:val="IntenseQuoteChar"/>
    <w:uiPriority w:val="30"/>
    <w:qFormat/>
    <w:rsid w:val="001E4B6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E4B66"/>
    <w:rPr>
      <w:i/>
      <w:iCs/>
      <w:color w:val="0F4761" w:themeColor="accent1" w:themeShade="BF"/>
    </w:rPr>
  </w:style>
  <w:style w:type="character" w:styleId="IntenseReference">
    <w:name w:val="Intense Reference"/>
    <w:basedOn w:val="DefaultParagraphFont"/>
    <w:uiPriority w:val="32"/>
    <w:qFormat/>
    <w:rsid w:val="001E4B6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841B5A601BF74385D6EF3AFF079AFD" ma:contentTypeVersion="14" ma:contentTypeDescription="Create a new document." ma:contentTypeScope="" ma:versionID="31ad65b2373008e962c61775790441e6">
  <xsd:schema xmlns:xsd="http://www.w3.org/2001/XMLSchema" xmlns:xs="http://www.w3.org/2001/XMLSchema" xmlns:p="http://schemas.microsoft.com/office/2006/metadata/properties" xmlns:ns1="http://schemas.microsoft.com/sharepoint/v3" xmlns:ns2="efa79490-6fe0-4669-94c9-47a4e30f63a3" xmlns:ns3="7fe5ba61-e4d7-4653-b84d-85d9d4282e5d" targetNamespace="http://schemas.microsoft.com/office/2006/metadata/properties" ma:root="true" ma:fieldsID="d31dec3b8187903adbff4abde6e98cd0" ns1:_="" ns2:_="" ns3:_="">
    <xsd:import namespace="http://schemas.microsoft.com/sharepoint/v3"/>
    <xsd:import namespace="efa79490-6fe0-4669-94c9-47a4e30f63a3"/>
    <xsd:import namespace="7fe5ba61-e4d7-4653-b84d-85d9d4282e5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a79490-6fe0-4669-94c9-47a4e30f63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3896aec-d569-4191-ae80-f5e63870f3cd"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fe5ba61-e4d7-4653-b84d-85d9d4282e5d"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23572917-fe18-402a-86da-64c8bb59aa8f}" ma:internalName="TaxCatchAll" ma:showField="CatchAllData" ma:web="7fe5ba61-e4d7-4653-b84d-85d9d4282e5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efa79490-6fe0-4669-94c9-47a4e30f63a3">
      <Terms xmlns="http://schemas.microsoft.com/office/infopath/2007/PartnerControls"/>
    </lcf76f155ced4ddcb4097134ff3c332f>
    <_ip_UnifiedCompliancePolicyProperties xmlns="http://schemas.microsoft.com/sharepoint/v3" xsi:nil="true"/>
    <TaxCatchAll xmlns="7fe5ba61-e4d7-4653-b84d-85d9d4282e5d" xsi:nil="true"/>
  </documentManagement>
</p:properties>
</file>

<file path=customXml/itemProps1.xml><?xml version="1.0" encoding="utf-8"?>
<ds:datastoreItem xmlns:ds="http://schemas.openxmlformats.org/officeDocument/2006/customXml" ds:itemID="{D088345E-4340-412D-B1D7-CA517BB892D6}"/>
</file>

<file path=customXml/itemProps2.xml><?xml version="1.0" encoding="utf-8"?>
<ds:datastoreItem xmlns:ds="http://schemas.openxmlformats.org/officeDocument/2006/customXml" ds:itemID="{A7940D60-59B4-442A-8528-FDBE4CC65522}"/>
</file>

<file path=customXml/itemProps3.xml><?xml version="1.0" encoding="utf-8"?>
<ds:datastoreItem xmlns:ds="http://schemas.openxmlformats.org/officeDocument/2006/customXml" ds:itemID="{654BBAA7-16F8-4A05-8B14-7A1A6121BC78}"/>
</file>

<file path=docProps/app.xml><?xml version="1.0" encoding="utf-8"?>
<Properties xmlns="http://schemas.openxmlformats.org/officeDocument/2006/extended-properties" xmlns:vt="http://schemas.openxmlformats.org/officeDocument/2006/docPropsVTypes">
  <Template>Normal</Template>
  <TotalTime>2700</TotalTime>
  <Pages>1</Pages>
  <Words>423</Words>
  <Characters>2023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lowenstein</dc:creator>
  <cp:keywords/>
  <dc:description/>
  <cp:lastModifiedBy>roy lowenstein</cp:lastModifiedBy>
  <cp:revision>4</cp:revision>
  <dcterms:created xsi:type="dcterms:W3CDTF">2026-05-25T15:16:00Z</dcterms:created>
  <dcterms:modified xsi:type="dcterms:W3CDTF">2026-06-03T20:38:00Z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0x010100BC841B5A601BF74385D6EF3AFF079AFD</vt:lpwstr>
  </property>
</Properties>
</file>